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E1" w:rsidRPr="00A907BA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A907BA">
        <w:fldChar w:fldCharType="begin" w:fldLock="1"/>
      </w:r>
      <w:r w:rsidRPr="00A907BA">
        <w:instrText xml:space="preserve">ADDIN Mendeley Bibliography CSL_BIBLIOGRAPHY </w:instrText>
      </w:r>
      <w:r w:rsidRPr="00A907BA">
        <w:fldChar w:fldCharType="separate"/>
      </w:r>
      <w:r w:rsidRPr="00A907BA">
        <w:rPr>
          <w:rFonts w:ascii="Calibri" w:hAnsi="Calibri" w:cs="Calibri"/>
          <w:noProof/>
          <w:szCs w:val="24"/>
        </w:rPr>
        <w:t xml:space="preserve">Beklioğlu, M., Bucak, T., Coppens, J., Bezirci, G., Tavşanoğlu, N., Çakıroğlu, A. I., … Özen, A. (2017). Restoration of eutrophic lakes with fluctuating water levels: A 20-year monitoring study of two inter-connected lakes. </w:t>
      </w:r>
      <w:r w:rsidRPr="00A907BA">
        <w:rPr>
          <w:rFonts w:ascii="Calibri" w:hAnsi="Calibri" w:cs="Calibri"/>
          <w:i/>
          <w:iCs/>
          <w:noProof/>
          <w:szCs w:val="24"/>
        </w:rPr>
        <w:t>Water (Switzerland)</w:t>
      </w:r>
      <w:r w:rsidRPr="00A907BA">
        <w:rPr>
          <w:rFonts w:ascii="Calibri" w:hAnsi="Calibri" w:cs="Calibri"/>
          <w:noProof/>
          <w:szCs w:val="24"/>
        </w:rPr>
        <w:t xml:space="preserve">, </w:t>
      </w:r>
      <w:r w:rsidRPr="00A907BA">
        <w:rPr>
          <w:rFonts w:ascii="Calibri" w:hAnsi="Calibri" w:cs="Calibri"/>
          <w:i/>
          <w:iCs/>
          <w:noProof/>
          <w:szCs w:val="24"/>
        </w:rPr>
        <w:t>9</w:t>
      </w:r>
      <w:r w:rsidRPr="00A907BA">
        <w:rPr>
          <w:rFonts w:ascii="Calibri" w:hAnsi="Calibri" w:cs="Calibri"/>
          <w:noProof/>
          <w:szCs w:val="24"/>
        </w:rPr>
        <w:t>(2). https://doi.org/10.3390/w9020127</w:t>
      </w:r>
    </w:p>
    <w:p w:rsidR="005749E1" w:rsidRPr="00A907BA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A907BA">
        <w:rPr>
          <w:rFonts w:ascii="Calibri" w:hAnsi="Calibri" w:cs="Calibri"/>
          <w:noProof/>
          <w:szCs w:val="24"/>
        </w:rPr>
        <w:t xml:space="preserve">Coppens, J., Özen, A., Tavşanoğlu, T. N., Erdoğan, Ş., Levi, E. E., Yozgatligil, C., … Beklioğlu, M. (2016). Impact of alternating wet and dry periods on long-term seasonal phosphorus and nitrogen budgets of two shallow Mediterranean lakes. </w:t>
      </w:r>
      <w:r w:rsidRPr="00A907BA">
        <w:rPr>
          <w:rFonts w:ascii="Calibri" w:hAnsi="Calibri" w:cs="Calibri"/>
          <w:i/>
          <w:iCs/>
          <w:noProof/>
          <w:szCs w:val="24"/>
        </w:rPr>
        <w:t>Science of the Total Environment</w:t>
      </w:r>
      <w:r w:rsidRPr="00A907BA">
        <w:rPr>
          <w:rFonts w:ascii="Calibri" w:hAnsi="Calibri" w:cs="Calibri"/>
          <w:noProof/>
          <w:szCs w:val="24"/>
        </w:rPr>
        <w:t xml:space="preserve">, </w:t>
      </w:r>
      <w:r w:rsidRPr="00A907BA">
        <w:rPr>
          <w:rFonts w:ascii="Calibri" w:hAnsi="Calibri" w:cs="Calibri"/>
          <w:i/>
          <w:iCs/>
          <w:noProof/>
          <w:szCs w:val="24"/>
        </w:rPr>
        <w:t>563</w:t>
      </w:r>
      <w:r w:rsidRPr="00A907BA">
        <w:rPr>
          <w:rFonts w:ascii="Calibri" w:hAnsi="Calibri" w:cs="Calibri"/>
          <w:noProof/>
          <w:szCs w:val="24"/>
        </w:rPr>
        <w:t>–</w:t>
      </w:r>
      <w:r w:rsidRPr="00A907BA">
        <w:rPr>
          <w:rFonts w:ascii="Calibri" w:hAnsi="Calibri" w:cs="Calibri"/>
          <w:i/>
          <w:iCs/>
          <w:noProof/>
          <w:szCs w:val="24"/>
        </w:rPr>
        <w:t>564</w:t>
      </w:r>
      <w:r w:rsidRPr="00A907BA">
        <w:rPr>
          <w:rFonts w:ascii="Calibri" w:hAnsi="Calibri" w:cs="Calibri"/>
          <w:noProof/>
          <w:szCs w:val="24"/>
        </w:rPr>
        <w:t>(1), 456–467. https://doi.org/10.1016/j.scitotenv.2016.04.028</w:t>
      </w:r>
      <w:bookmarkStart w:id="0" w:name="_GoBack"/>
      <w:bookmarkEnd w:id="0"/>
    </w:p>
    <w:p w:rsidR="005749E1" w:rsidRPr="00A907BA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A907BA">
        <w:rPr>
          <w:rFonts w:ascii="Calibri" w:hAnsi="Calibri" w:cs="Calibri"/>
          <w:noProof/>
          <w:szCs w:val="24"/>
        </w:rPr>
        <w:t xml:space="preserve">Beklioglu, Meryem, &amp; Tan, C. O. (2008). Restoration of a shallow Mediterranean lake by biomanipulation complicated by drought. </w:t>
      </w:r>
      <w:r w:rsidRPr="00A907BA">
        <w:rPr>
          <w:rFonts w:ascii="Calibri" w:hAnsi="Calibri" w:cs="Calibri"/>
          <w:i/>
          <w:iCs/>
          <w:noProof/>
          <w:szCs w:val="24"/>
        </w:rPr>
        <w:t>Fundamental and Applied Limnology</w:t>
      </w:r>
      <w:r w:rsidRPr="00A907BA">
        <w:rPr>
          <w:rFonts w:ascii="Calibri" w:hAnsi="Calibri" w:cs="Calibri"/>
          <w:noProof/>
          <w:szCs w:val="24"/>
        </w:rPr>
        <w:t xml:space="preserve">, </w:t>
      </w:r>
      <w:r w:rsidRPr="00A907BA">
        <w:rPr>
          <w:rFonts w:ascii="Calibri" w:hAnsi="Calibri" w:cs="Calibri"/>
          <w:i/>
          <w:iCs/>
          <w:noProof/>
          <w:szCs w:val="24"/>
        </w:rPr>
        <w:t>171</w:t>
      </w:r>
      <w:r w:rsidRPr="00A907BA">
        <w:rPr>
          <w:rFonts w:ascii="Calibri" w:hAnsi="Calibri" w:cs="Calibri"/>
          <w:noProof/>
          <w:szCs w:val="24"/>
        </w:rPr>
        <w:t>(2), 105–118. https://doi.org/1</w:t>
      </w:r>
      <w:r w:rsidRPr="00A907BA">
        <w:rPr>
          <w:rFonts w:ascii="Calibri" w:hAnsi="Calibri" w:cs="Calibri"/>
          <w:noProof/>
          <w:szCs w:val="24"/>
        </w:rPr>
        <w:t>0.1127/1863-9135/2008/0171-0105</w:t>
      </w:r>
    </w:p>
    <w:p w:rsidR="005749E1" w:rsidRPr="00A907BA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A907BA">
        <w:rPr>
          <w:rFonts w:ascii="Calibri" w:hAnsi="Calibri" w:cs="Calibri"/>
          <w:noProof/>
          <w:szCs w:val="24"/>
        </w:rPr>
        <w:t xml:space="preserve">Muluk, C. B., &amp; Beklioglu, M. (2005). Absence of typical diel vertical migration in Daphnia: Varying role of water clarity, food, and dissolved oxygen in Lake Eymir, Turkey. </w:t>
      </w:r>
      <w:r w:rsidRPr="00A907BA">
        <w:rPr>
          <w:rFonts w:ascii="Calibri" w:hAnsi="Calibri" w:cs="Calibri"/>
          <w:i/>
          <w:iCs/>
          <w:noProof/>
          <w:szCs w:val="24"/>
        </w:rPr>
        <w:t>Hydrobiologia</w:t>
      </w:r>
      <w:r w:rsidRPr="00A907BA">
        <w:rPr>
          <w:rFonts w:ascii="Calibri" w:hAnsi="Calibri" w:cs="Calibri"/>
          <w:noProof/>
          <w:szCs w:val="24"/>
        </w:rPr>
        <w:t xml:space="preserve">, </w:t>
      </w:r>
      <w:r w:rsidRPr="00A907BA">
        <w:rPr>
          <w:rFonts w:ascii="Calibri" w:hAnsi="Calibri" w:cs="Calibri"/>
          <w:i/>
          <w:iCs/>
          <w:noProof/>
          <w:szCs w:val="24"/>
        </w:rPr>
        <w:t>537</w:t>
      </w:r>
      <w:r w:rsidRPr="00A907BA">
        <w:rPr>
          <w:rFonts w:ascii="Calibri" w:hAnsi="Calibri" w:cs="Calibri"/>
          <w:noProof/>
          <w:szCs w:val="24"/>
        </w:rPr>
        <w:t>(1–3), 125–133. https://doi.org/10.1007/s10750-004-2789-7</w:t>
      </w:r>
    </w:p>
    <w:p w:rsidR="005749E1" w:rsidRPr="00A907BA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A907BA">
        <w:rPr>
          <w:rFonts w:ascii="Calibri" w:hAnsi="Calibri" w:cs="Calibri"/>
          <w:noProof/>
          <w:szCs w:val="24"/>
        </w:rPr>
        <w:t xml:space="preserve">Tan, C. O., &amp; Beklioglu, M. (2005). Catastrophic-like shifts in shallow Turkish lakes: A modeling approach. </w:t>
      </w:r>
      <w:r w:rsidRPr="00A907BA">
        <w:rPr>
          <w:rFonts w:ascii="Calibri" w:hAnsi="Calibri" w:cs="Calibri"/>
          <w:i/>
          <w:iCs/>
          <w:noProof/>
          <w:szCs w:val="24"/>
        </w:rPr>
        <w:t>Ecological Modelling</w:t>
      </w:r>
      <w:r w:rsidRPr="00A907BA">
        <w:rPr>
          <w:rFonts w:ascii="Calibri" w:hAnsi="Calibri" w:cs="Calibri"/>
          <w:noProof/>
          <w:szCs w:val="24"/>
        </w:rPr>
        <w:t xml:space="preserve">, </w:t>
      </w:r>
      <w:r w:rsidRPr="00A907BA">
        <w:rPr>
          <w:rFonts w:ascii="Calibri" w:hAnsi="Calibri" w:cs="Calibri"/>
          <w:i/>
          <w:iCs/>
          <w:noProof/>
          <w:szCs w:val="24"/>
        </w:rPr>
        <w:t>183</w:t>
      </w:r>
      <w:r w:rsidRPr="00A907BA">
        <w:rPr>
          <w:rFonts w:ascii="Calibri" w:hAnsi="Calibri" w:cs="Calibri"/>
          <w:noProof/>
          <w:szCs w:val="24"/>
        </w:rPr>
        <w:t>(4), 425–434. https://doi.org/10.1016/j.ecolmodel.2004.07.033</w:t>
      </w:r>
    </w:p>
    <w:p w:rsidR="005749E1" w:rsidRPr="00A907BA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A907BA">
        <w:rPr>
          <w:rFonts w:ascii="Calibri" w:hAnsi="Calibri" w:cs="Calibri"/>
          <w:noProof/>
          <w:szCs w:val="24"/>
        </w:rPr>
        <w:t xml:space="preserve">Beklioglu, M., Ince, O., &amp; Tuzun, I. (2003). Restoration of the eutrophic Lake Eymir, Turkey, by biomanipulation after a major external nutrient control I. </w:t>
      </w:r>
      <w:r w:rsidRPr="00A907BA">
        <w:rPr>
          <w:rFonts w:ascii="Calibri" w:hAnsi="Calibri" w:cs="Calibri"/>
          <w:i/>
          <w:iCs/>
          <w:noProof/>
          <w:szCs w:val="24"/>
        </w:rPr>
        <w:t>Hydrobiologia</w:t>
      </w:r>
      <w:r w:rsidRPr="00A907BA">
        <w:rPr>
          <w:rFonts w:ascii="Calibri" w:hAnsi="Calibri" w:cs="Calibri"/>
          <w:noProof/>
          <w:szCs w:val="24"/>
        </w:rPr>
        <w:t xml:space="preserve">, </w:t>
      </w:r>
      <w:r w:rsidRPr="00A907BA">
        <w:rPr>
          <w:rFonts w:ascii="Calibri" w:hAnsi="Calibri" w:cs="Calibri"/>
          <w:i/>
          <w:iCs/>
          <w:noProof/>
          <w:szCs w:val="24"/>
        </w:rPr>
        <w:t>490</w:t>
      </w:r>
      <w:r w:rsidRPr="00A907BA">
        <w:rPr>
          <w:rFonts w:ascii="Calibri" w:hAnsi="Calibri" w:cs="Calibri"/>
          <w:noProof/>
          <w:szCs w:val="24"/>
        </w:rPr>
        <w:t>, 93–105. https://doi.org/10.1023/A:1023466629489</w:t>
      </w:r>
    </w:p>
    <w:p w:rsidR="005749E1" w:rsidRPr="00A907BA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</w:p>
    <w:p w:rsidR="005749E1" w:rsidRDefault="005749E1">
      <w:r w:rsidRPr="00A907BA">
        <w:fldChar w:fldCharType="end"/>
      </w:r>
    </w:p>
    <w:sectPr w:rsidR="0057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1"/>
    <w:rsid w:val="005749E1"/>
    <w:rsid w:val="007728AE"/>
    <w:rsid w:val="00A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DB08C"/>
  <w15:chartTrackingRefBased/>
  <w15:docId w15:val="{A6586DB4-A260-4E1A-8C95-406CA552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920F-D12C-4EB5-84FA-DA3646ED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filiz</dc:creator>
  <cp:keywords/>
  <dc:description/>
  <cp:lastModifiedBy>nur filiz</cp:lastModifiedBy>
  <cp:revision>2</cp:revision>
  <dcterms:created xsi:type="dcterms:W3CDTF">2020-06-12T11:05:00Z</dcterms:created>
  <dcterms:modified xsi:type="dcterms:W3CDTF">2020-06-12T11:14:00Z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d9e92acf-3358-3e5a-90d0-3c39216cce41</vt:lpwstr>
  </property>
  <property fmtid="{D5CDD505-2E9C-101B-9397-08002B2CF9AE}" pid="24" name="Mendeley Citation Style_1">
    <vt:lpwstr>http://www.zotero.org/styles/apa</vt:lpwstr>
  </property>
</Properties>
</file>